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6D09" w14:textId="4FE13B55" w:rsidR="00443172" w:rsidRDefault="00443172" w:rsidP="004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Cs w:val="32"/>
          <w:u w:val="single"/>
          <w:lang w:bidi="x-none"/>
        </w:rPr>
      </w:pPr>
      <w:r w:rsidRPr="00443172">
        <w:rPr>
          <w:b/>
          <w:szCs w:val="32"/>
          <w:u w:val="single"/>
          <w:lang w:bidi="x-none"/>
        </w:rPr>
        <w:t>Graduate Student Appointment Information</w:t>
      </w:r>
    </w:p>
    <w:p w14:paraId="0EAE020D" w14:textId="7B23054C" w:rsidR="001225ED" w:rsidRDefault="001225ED" w:rsidP="004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i/>
          <w:iCs/>
          <w:szCs w:val="32"/>
          <w:lang w:bidi="x-none"/>
        </w:rPr>
      </w:pPr>
      <w:r w:rsidRPr="001225ED">
        <w:rPr>
          <w:bCs/>
          <w:i/>
          <w:iCs/>
          <w:szCs w:val="32"/>
          <w:lang w:bidi="x-none"/>
        </w:rPr>
        <w:t>Information for students appointed as Teaching Assistants, Research Assistants, Graduate Assistants, and Graduate Part Time Instructors</w:t>
      </w:r>
      <w:r>
        <w:rPr>
          <w:bCs/>
          <w:i/>
          <w:iCs/>
          <w:szCs w:val="32"/>
          <w:lang w:bidi="x-none"/>
        </w:rPr>
        <w:t xml:space="preserve"> on contract appointments</w:t>
      </w:r>
    </w:p>
    <w:p w14:paraId="098F2202" w14:textId="77777777" w:rsidR="002454A1" w:rsidRPr="001225ED" w:rsidRDefault="002454A1" w:rsidP="004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i/>
          <w:iCs/>
          <w:szCs w:val="32"/>
          <w:lang w:bidi="x-none"/>
        </w:rPr>
      </w:pPr>
    </w:p>
    <w:p w14:paraId="30CBF086" w14:textId="77777777" w:rsidR="004224E2" w:rsidRPr="008939BE" w:rsidRDefault="004224E2" w:rsidP="004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u w:val="single"/>
          <w:lang w:bidi="x-none"/>
        </w:rPr>
      </w:pPr>
    </w:p>
    <w:p w14:paraId="1AD72112" w14:textId="2EFD8B99" w:rsidR="004224E2" w:rsidRDefault="00B62740" w:rsidP="004224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8939BE">
        <w:rPr>
          <w:sz w:val="22"/>
          <w:szCs w:val="22"/>
          <w:lang w:bidi="x-none"/>
        </w:rPr>
        <w:t>Graduate student appointees</w:t>
      </w:r>
      <w:r w:rsidR="004224E2" w:rsidRPr="008939BE">
        <w:rPr>
          <w:sz w:val="22"/>
          <w:szCs w:val="22"/>
          <w:lang w:bidi="x-none"/>
        </w:rPr>
        <w:t xml:space="preserve"> must be enrolled as full-time, degree seeking graduate student</w:t>
      </w:r>
      <w:r>
        <w:rPr>
          <w:sz w:val="22"/>
          <w:szCs w:val="22"/>
          <w:lang w:bidi="x-none"/>
        </w:rPr>
        <w:t>s</w:t>
      </w:r>
      <w:r w:rsidR="004224E2" w:rsidRPr="008939BE">
        <w:rPr>
          <w:sz w:val="22"/>
          <w:szCs w:val="22"/>
          <w:lang w:bidi="x-none"/>
        </w:rPr>
        <w:t xml:space="preserve"> each semester, with no grade of “incomplete” in any course (with the exception of thesis or dissertation hours), and with at least </w:t>
      </w:r>
      <w:r>
        <w:rPr>
          <w:sz w:val="22"/>
          <w:szCs w:val="22"/>
          <w:lang w:bidi="x-none"/>
        </w:rPr>
        <w:t xml:space="preserve">a B (3.0) grade point average. </w:t>
      </w:r>
      <w:r w:rsidR="007D02B5">
        <w:rPr>
          <w:sz w:val="22"/>
          <w:szCs w:val="22"/>
          <w:lang w:bidi="x-none"/>
        </w:rPr>
        <w:t xml:space="preserve">In </w:t>
      </w:r>
      <w:r w:rsidR="00B41E75">
        <w:rPr>
          <w:sz w:val="22"/>
          <w:szCs w:val="22"/>
          <w:lang w:bidi="x-none"/>
        </w:rPr>
        <w:t>many</w:t>
      </w:r>
      <w:r w:rsidR="007D02B5">
        <w:rPr>
          <w:sz w:val="22"/>
          <w:szCs w:val="22"/>
          <w:lang w:bidi="x-none"/>
        </w:rPr>
        <w:t xml:space="preserve"> cases, i</w:t>
      </w:r>
      <w:r w:rsidR="004224E2" w:rsidRPr="008939BE">
        <w:rPr>
          <w:sz w:val="22"/>
          <w:szCs w:val="22"/>
          <w:lang w:bidi="x-none"/>
        </w:rPr>
        <w:t xml:space="preserve">f </w:t>
      </w:r>
      <w:r w:rsidR="007D02B5">
        <w:rPr>
          <w:sz w:val="22"/>
          <w:szCs w:val="22"/>
          <w:lang w:bidi="x-none"/>
        </w:rPr>
        <w:t xml:space="preserve">a student is </w:t>
      </w:r>
      <w:r w:rsidR="004224E2" w:rsidRPr="008939BE">
        <w:rPr>
          <w:sz w:val="22"/>
          <w:szCs w:val="22"/>
          <w:lang w:bidi="x-none"/>
        </w:rPr>
        <w:t xml:space="preserve">enrolled for less than 3 credit hours </w:t>
      </w:r>
      <w:r>
        <w:rPr>
          <w:sz w:val="22"/>
          <w:szCs w:val="22"/>
          <w:lang w:bidi="x-none"/>
        </w:rPr>
        <w:t>they</w:t>
      </w:r>
      <w:r w:rsidR="004224E2" w:rsidRPr="008939BE">
        <w:rPr>
          <w:sz w:val="22"/>
          <w:szCs w:val="22"/>
          <w:lang w:bidi="x-none"/>
        </w:rPr>
        <w:t xml:space="preserve"> </w:t>
      </w:r>
      <w:r w:rsidR="001225ED">
        <w:rPr>
          <w:sz w:val="22"/>
          <w:szCs w:val="22"/>
          <w:lang w:bidi="x-none"/>
        </w:rPr>
        <w:t>may</w:t>
      </w:r>
      <w:r w:rsidR="004224E2" w:rsidRPr="008939BE">
        <w:rPr>
          <w:sz w:val="22"/>
          <w:szCs w:val="22"/>
          <w:lang w:bidi="x-none"/>
        </w:rPr>
        <w:t xml:space="preserve"> be subject to mandatory </w:t>
      </w:r>
      <w:hyperlink r:id="rId7" w:history="1">
        <w:r w:rsidR="004224E2" w:rsidRPr="008939BE">
          <w:rPr>
            <w:rStyle w:val="Hyperlink"/>
            <w:sz w:val="22"/>
            <w:szCs w:val="22"/>
            <w:lang w:bidi="x-none"/>
          </w:rPr>
          <w:t>student retirement</w:t>
        </w:r>
      </w:hyperlink>
      <w:r w:rsidR="004224E2" w:rsidRPr="008939BE">
        <w:rPr>
          <w:sz w:val="22"/>
          <w:szCs w:val="22"/>
          <w:lang w:bidi="x-none"/>
        </w:rPr>
        <w:t xml:space="preserve"> deductions.  </w:t>
      </w:r>
    </w:p>
    <w:p w14:paraId="20B98857" w14:textId="6B523FB1" w:rsidR="00B41E75" w:rsidRDefault="00B41E75" w:rsidP="00B4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bidi="x-none"/>
        </w:rPr>
      </w:pPr>
    </w:p>
    <w:p w14:paraId="63447FA9" w14:textId="19367FA7" w:rsidR="00B41E75" w:rsidRPr="00B41E75" w:rsidRDefault="00B41E75" w:rsidP="00B41E7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B41E75">
        <w:rPr>
          <w:sz w:val="22"/>
          <w:szCs w:val="22"/>
          <w:lang w:bidi="x-none"/>
        </w:rPr>
        <w:t xml:space="preserve">A Student enrolled in a professional </w:t>
      </w:r>
      <w:r w:rsidR="002454A1">
        <w:rPr>
          <w:sz w:val="22"/>
          <w:szCs w:val="22"/>
          <w:lang w:bidi="x-none"/>
        </w:rPr>
        <w:t xml:space="preserve">master’s </w:t>
      </w:r>
      <w:r w:rsidRPr="00B41E75">
        <w:rPr>
          <w:sz w:val="22"/>
          <w:szCs w:val="22"/>
          <w:lang w:bidi="x-none"/>
        </w:rPr>
        <w:t>program is not eligible to hold an appointment</w:t>
      </w:r>
      <w:r w:rsidR="002454A1" w:rsidRPr="00B41E75">
        <w:rPr>
          <w:sz w:val="22"/>
          <w:szCs w:val="22"/>
          <w:lang w:bidi="x-none"/>
        </w:rPr>
        <w:t xml:space="preserve"> unless</w:t>
      </w:r>
      <w:r w:rsidRPr="00B41E75">
        <w:rPr>
          <w:sz w:val="22"/>
          <w:szCs w:val="22"/>
          <w:lang w:bidi="x-none"/>
        </w:rPr>
        <w:t xml:space="preserve"> they are enrolled in a dual-degree program with a </w:t>
      </w:r>
      <w:r>
        <w:rPr>
          <w:sz w:val="22"/>
          <w:szCs w:val="22"/>
          <w:lang w:bidi="x-none"/>
        </w:rPr>
        <w:t xml:space="preserve">traditional </w:t>
      </w:r>
      <w:r w:rsidR="002454A1">
        <w:rPr>
          <w:sz w:val="22"/>
          <w:szCs w:val="22"/>
          <w:lang w:bidi="x-none"/>
        </w:rPr>
        <w:t xml:space="preserve">PhD </w:t>
      </w:r>
      <w:r>
        <w:rPr>
          <w:sz w:val="22"/>
          <w:szCs w:val="22"/>
          <w:lang w:bidi="x-none"/>
        </w:rPr>
        <w:t>program.</w:t>
      </w:r>
    </w:p>
    <w:p w14:paraId="4D6246D0" w14:textId="77777777" w:rsidR="00B41E75" w:rsidRPr="00B41E75" w:rsidRDefault="00B41E75" w:rsidP="00B4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bidi="x-none"/>
        </w:rPr>
      </w:pPr>
    </w:p>
    <w:p w14:paraId="3DD8C495" w14:textId="77777777" w:rsidR="004224E2" w:rsidRPr="008939BE" w:rsidRDefault="004224E2" w:rsidP="004224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8939BE">
        <w:rPr>
          <w:sz w:val="22"/>
          <w:szCs w:val="22"/>
          <w:lang w:bidi="x-none"/>
        </w:rPr>
        <w:t xml:space="preserve">Full-time status information may be found on the </w:t>
      </w:r>
      <w:hyperlink r:id="rId8" w:history="1">
        <w:r w:rsidRPr="008939BE">
          <w:rPr>
            <w:rStyle w:val="Hyperlink"/>
            <w:sz w:val="22"/>
            <w:szCs w:val="22"/>
            <w:lang w:bidi="x-none"/>
          </w:rPr>
          <w:t>Enrollment Verification Grid</w:t>
        </w:r>
      </w:hyperlink>
      <w:r w:rsidRPr="008939BE">
        <w:rPr>
          <w:sz w:val="22"/>
          <w:szCs w:val="22"/>
          <w:lang w:bidi="x-none"/>
        </w:rPr>
        <w:t>.</w:t>
      </w:r>
    </w:p>
    <w:p w14:paraId="3FFA6318" w14:textId="77777777" w:rsidR="00443172" w:rsidRPr="008939BE" w:rsidRDefault="00443172" w:rsidP="004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03B856D4" w14:textId="77777777" w:rsidR="00F75E9A" w:rsidRPr="008939BE" w:rsidRDefault="00515218" w:rsidP="00440DF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8939BE">
        <w:rPr>
          <w:sz w:val="22"/>
          <w:szCs w:val="22"/>
          <w:lang w:bidi="x-none"/>
        </w:rPr>
        <w:t xml:space="preserve">The </w:t>
      </w:r>
      <w:r w:rsidR="00D364FE" w:rsidRPr="008939BE">
        <w:rPr>
          <w:sz w:val="22"/>
          <w:szCs w:val="22"/>
          <w:lang w:bidi="x-none"/>
        </w:rPr>
        <w:t>A</w:t>
      </w:r>
      <w:r w:rsidR="00443172" w:rsidRPr="008939BE">
        <w:rPr>
          <w:sz w:val="22"/>
          <w:szCs w:val="22"/>
          <w:lang w:bidi="x-none"/>
        </w:rPr>
        <w:t>c</w:t>
      </w:r>
      <w:r w:rsidRPr="008939BE">
        <w:rPr>
          <w:sz w:val="22"/>
          <w:szCs w:val="22"/>
          <w:lang w:bidi="x-none"/>
        </w:rPr>
        <w:t xml:space="preserve">ademic </w:t>
      </w:r>
      <w:r w:rsidR="00D364FE" w:rsidRPr="008939BE">
        <w:rPr>
          <w:sz w:val="22"/>
          <w:szCs w:val="22"/>
          <w:lang w:bidi="x-none"/>
        </w:rPr>
        <w:t>Y</w:t>
      </w:r>
      <w:r w:rsidRPr="008939BE">
        <w:rPr>
          <w:sz w:val="22"/>
          <w:szCs w:val="22"/>
          <w:lang w:bidi="x-none"/>
        </w:rPr>
        <w:t xml:space="preserve">ear </w:t>
      </w:r>
      <w:r w:rsidR="00443172" w:rsidRPr="008939BE">
        <w:rPr>
          <w:sz w:val="22"/>
          <w:szCs w:val="22"/>
          <w:lang w:bidi="x-none"/>
        </w:rPr>
        <w:t xml:space="preserve">(AY) </w:t>
      </w:r>
      <w:r w:rsidRPr="008939BE">
        <w:rPr>
          <w:sz w:val="22"/>
          <w:szCs w:val="22"/>
          <w:lang w:bidi="x-none"/>
        </w:rPr>
        <w:t xml:space="preserve">begins with the first day of fall classes and ends with </w:t>
      </w:r>
      <w:r w:rsidR="00F75E9A" w:rsidRPr="008939BE">
        <w:rPr>
          <w:sz w:val="22"/>
          <w:szCs w:val="22"/>
          <w:lang w:bidi="x-none"/>
        </w:rPr>
        <w:t xml:space="preserve">spring commencement. </w:t>
      </w:r>
      <w:r w:rsidR="00443172" w:rsidRPr="008939BE">
        <w:rPr>
          <w:sz w:val="22"/>
          <w:szCs w:val="22"/>
          <w:lang w:bidi="x-none"/>
        </w:rPr>
        <w:t xml:space="preserve">View current and future dates on the </w:t>
      </w:r>
      <w:hyperlink r:id="rId9" w:history="1">
        <w:r w:rsidR="00443172" w:rsidRPr="008939BE">
          <w:rPr>
            <w:rStyle w:val="Hyperlink"/>
            <w:sz w:val="22"/>
            <w:szCs w:val="22"/>
            <w:lang w:bidi="x-none"/>
          </w:rPr>
          <w:t>Academic Calendar</w:t>
        </w:r>
      </w:hyperlink>
      <w:r w:rsidR="00443172" w:rsidRPr="008939BE">
        <w:rPr>
          <w:sz w:val="22"/>
          <w:szCs w:val="22"/>
          <w:lang w:bidi="x-none"/>
        </w:rPr>
        <w:t xml:space="preserve">. </w:t>
      </w:r>
    </w:p>
    <w:p w14:paraId="51E7C4F4" w14:textId="77777777" w:rsidR="008939BE" w:rsidRPr="008939BE" w:rsidRDefault="008939BE" w:rsidP="008939BE">
      <w:pPr>
        <w:pStyle w:val="ListParagraph"/>
        <w:rPr>
          <w:sz w:val="22"/>
          <w:szCs w:val="22"/>
          <w:lang w:bidi="x-none"/>
        </w:rPr>
      </w:pPr>
    </w:p>
    <w:p w14:paraId="437B987C" w14:textId="678482DE" w:rsidR="008939BE" w:rsidRPr="008939BE" w:rsidRDefault="00B62740" w:rsidP="008939BE">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Pr>
          <w:sz w:val="22"/>
          <w:szCs w:val="22"/>
          <w:lang w:bidi="x-none"/>
        </w:rPr>
        <w:t>Appointees</w:t>
      </w:r>
      <w:r w:rsidRPr="008939BE">
        <w:rPr>
          <w:sz w:val="22"/>
          <w:szCs w:val="22"/>
          <w:lang w:bidi="x-none"/>
        </w:rPr>
        <w:t xml:space="preserve"> </w:t>
      </w:r>
      <w:r w:rsidR="008939BE" w:rsidRPr="008939BE">
        <w:rPr>
          <w:sz w:val="22"/>
          <w:szCs w:val="22"/>
          <w:lang w:bidi="x-none"/>
        </w:rPr>
        <w:t xml:space="preserve">are paid on a monthly basis, on the last working day of each month. </w:t>
      </w:r>
      <w:r w:rsidR="001225ED">
        <w:rPr>
          <w:sz w:val="22"/>
          <w:szCs w:val="22"/>
          <w:lang w:bidi="x-none"/>
        </w:rPr>
        <w:t xml:space="preserve">Students </w:t>
      </w:r>
      <w:r w:rsidR="008939BE" w:rsidRPr="008939BE">
        <w:rPr>
          <w:sz w:val="22"/>
          <w:szCs w:val="22"/>
          <w:lang w:bidi="x-none"/>
        </w:rPr>
        <w:t xml:space="preserve">who </w:t>
      </w:r>
      <w:r w:rsidR="0047613C">
        <w:rPr>
          <w:sz w:val="22"/>
          <w:szCs w:val="22"/>
          <w:lang w:bidi="x-none"/>
        </w:rPr>
        <w:t>are</w:t>
      </w:r>
      <w:r w:rsidR="008939BE" w:rsidRPr="008939BE">
        <w:rPr>
          <w:sz w:val="22"/>
          <w:szCs w:val="22"/>
          <w:lang w:bidi="x-none"/>
        </w:rPr>
        <w:t xml:space="preserve"> on academic year appointment</w:t>
      </w:r>
      <w:r w:rsidR="00C2575E">
        <w:rPr>
          <w:sz w:val="22"/>
          <w:szCs w:val="22"/>
          <w:lang w:bidi="x-none"/>
        </w:rPr>
        <w:t xml:space="preserve">s will </w:t>
      </w:r>
      <w:r w:rsidR="00C2575E" w:rsidRPr="008939BE">
        <w:rPr>
          <w:sz w:val="22"/>
          <w:szCs w:val="22"/>
          <w:lang w:bidi="x-none"/>
        </w:rPr>
        <w:t>receive</w:t>
      </w:r>
      <w:r w:rsidR="008939BE" w:rsidRPr="008939BE">
        <w:rPr>
          <w:sz w:val="22"/>
          <w:szCs w:val="22"/>
          <w:lang w:bidi="x-none"/>
        </w:rPr>
        <w:t xml:space="preserve"> the first paycheck on the last working day in </w:t>
      </w:r>
      <w:r w:rsidR="0047613C">
        <w:rPr>
          <w:sz w:val="22"/>
          <w:szCs w:val="22"/>
          <w:lang w:bidi="x-none"/>
        </w:rPr>
        <w:t>August</w:t>
      </w:r>
      <w:r w:rsidR="008939BE" w:rsidRPr="008939BE">
        <w:rPr>
          <w:sz w:val="22"/>
          <w:szCs w:val="22"/>
          <w:lang w:bidi="x-none"/>
        </w:rPr>
        <w:t xml:space="preserve"> and the last paycheck on the last working day of May. </w:t>
      </w:r>
      <w:r w:rsidR="001225ED">
        <w:rPr>
          <w:sz w:val="22"/>
          <w:szCs w:val="22"/>
          <w:lang w:bidi="x-none"/>
        </w:rPr>
        <w:t xml:space="preserve">Both August and May paychecks are approximately ½ month’s salary. </w:t>
      </w:r>
      <w:r w:rsidR="008939BE" w:rsidRPr="008939BE">
        <w:rPr>
          <w:sz w:val="22"/>
          <w:szCs w:val="22"/>
          <w:lang w:bidi="x-none"/>
        </w:rPr>
        <w:t xml:space="preserve">Students employed for fall semester receive the first paycheck on the last working day of </w:t>
      </w:r>
      <w:r w:rsidR="0047613C">
        <w:rPr>
          <w:sz w:val="22"/>
          <w:szCs w:val="22"/>
          <w:lang w:bidi="x-none"/>
        </w:rPr>
        <w:t>August</w:t>
      </w:r>
      <w:r w:rsidR="008939BE" w:rsidRPr="008939BE">
        <w:rPr>
          <w:sz w:val="22"/>
          <w:szCs w:val="22"/>
          <w:lang w:bidi="x-none"/>
        </w:rPr>
        <w:t xml:space="preserve"> and the last paycheck on the last working day of December. Students employed for the spring semester receive the first paycheck on the last working day of January and the last paycheck on the last working day of May. </w:t>
      </w:r>
    </w:p>
    <w:p w14:paraId="7795B0B3" w14:textId="77777777" w:rsidR="00D233C3" w:rsidRPr="008939BE" w:rsidRDefault="00D233C3" w:rsidP="00440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bidi="x-none"/>
        </w:rPr>
      </w:pPr>
    </w:p>
    <w:p w14:paraId="44A8B332" w14:textId="77777777" w:rsidR="00D30A06" w:rsidRPr="008939BE" w:rsidRDefault="00D30A06" w:rsidP="00440DF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8939BE">
        <w:rPr>
          <w:sz w:val="22"/>
          <w:szCs w:val="22"/>
          <w:lang w:bidi="x-none"/>
        </w:rPr>
        <w:t>The percentage of appointment must be equated to the number of hours the graduate student is expected to work. For example, a student who is appointed for 50%</w:t>
      </w:r>
      <w:r w:rsidR="00B62740">
        <w:rPr>
          <w:sz w:val="22"/>
          <w:szCs w:val="22"/>
          <w:lang w:bidi="x-none"/>
        </w:rPr>
        <w:t xml:space="preserve"> time</w:t>
      </w:r>
      <w:r w:rsidRPr="008939BE">
        <w:rPr>
          <w:sz w:val="22"/>
          <w:szCs w:val="22"/>
          <w:lang w:bidi="x-none"/>
        </w:rPr>
        <w:t xml:space="preserve"> can</w:t>
      </w:r>
      <w:r w:rsidR="00B62740">
        <w:rPr>
          <w:sz w:val="22"/>
          <w:szCs w:val="22"/>
          <w:lang w:bidi="x-none"/>
        </w:rPr>
        <w:t>not</w:t>
      </w:r>
      <w:r w:rsidRPr="008939BE">
        <w:rPr>
          <w:sz w:val="22"/>
          <w:szCs w:val="22"/>
          <w:lang w:bidi="x-none"/>
        </w:rPr>
        <w:t xml:space="preserve"> be expected to work more than 20 hours per week. </w:t>
      </w:r>
      <w:r w:rsidR="00D233C3" w:rsidRPr="008939BE">
        <w:rPr>
          <w:sz w:val="22"/>
          <w:szCs w:val="22"/>
          <w:lang w:bidi="x-none"/>
        </w:rPr>
        <w:t>If assigned as a TA, t</w:t>
      </w:r>
      <w:r w:rsidRPr="008939BE">
        <w:rPr>
          <w:sz w:val="22"/>
          <w:szCs w:val="22"/>
          <w:lang w:bidi="x-none"/>
        </w:rPr>
        <w:t>hese 20 hours must include all duties necessary for the completion of the student's teaching assignment, i.e., office hours, in-class time, grading, and preparation time.</w:t>
      </w:r>
    </w:p>
    <w:p w14:paraId="16EF5BDC" w14:textId="77777777" w:rsidR="00443172" w:rsidRPr="008939BE" w:rsidRDefault="00443172" w:rsidP="00440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bidi="x-none"/>
        </w:rPr>
      </w:pPr>
    </w:p>
    <w:p w14:paraId="77A3C077" w14:textId="77777777" w:rsidR="00443172" w:rsidRPr="008939BE" w:rsidRDefault="00443172" w:rsidP="00440DF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8939BE">
        <w:rPr>
          <w:sz w:val="22"/>
          <w:szCs w:val="22"/>
          <w:lang w:bidi="x-none"/>
        </w:rPr>
        <w:t>Graduate students may not work over 50% time (20 hrs. /week) during the academic year.</w:t>
      </w:r>
    </w:p>
    <w:p w14:paraId="601B8240" w14:textId="77777777" w:rsidR="00D30A06" w:rsidRPr="008939BE" w:rsidRDefault="00D30A06" w:rsidP="00440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bidi="x-none"/>
        </w:rPr>
      </w:pPr>
    </w:p>
    <w:p w14:paraId="1A60B62E" w14:textId="77777777" w:rsidR="00D30A06" w:rsidRPr="008939BE" w:rsidRDefault="00D30A06" w:rsidP="00440DF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8939BE">
        <w:rPr>
          <w:sz w:val="22"/>
          <w:szCs w:val="22"/>
          <w:lang w:bidi="x-none"/>
        </w:rPr>
        <w:t xml:space="preserve">A department may require </w:t>
      </w:r>
      <w:r w:rsidR="0047613C">
        <w:rPr>
          <w:sz w:val="22"/>
          <w:szCs w:val="22"/>
          <w:lang w:bidi="x-none"/>
        </w:rPr>
        <w:t>RAs</w:t>
      </w:r>
      <w:r w:rsidRPr="008939BE">
        <w:rPr>
          <w:sz w:val="22"/>
          <w:szCs w:val="22"/>
          <w:lang w:bidi="x-none"/>
        </w:rPr>
        <w:t xml:space="preserve"> to work during semester breaks. However, the department should notify the student as part of the terms of appointment if it intends to do so</w:t>
      </w:r>
      <w:r w:rsidR="00D233C3" w:rsidRPr="008939BE">
        <w:rPr>
          <w:sz w:val="22"/>
          <w:szCs w:val="22"/>
          <w:lang w:bidi="x-none"/>
        </w:rPr>
        <w:t>.</w:t>
      </w:r>
    </w:p>
    <w:p w14:paraId="0B39CFE4" w14:textId="77777777" w:rsidR="00D233C3" w:rsidRPr="008939BE" w:rsidRDefault="00D233C3" w:rsidP="00440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bidi="x-none"/>
        </w:rPr>
      </w:pPr>
    </w:p>
    <w:p w14:paraId="27ED667C" w14:textId="4C0A5C71" w:rsidR="00B41E75" w:rsidRDefault="00D233C3" w:rsidP="00B41E7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B41E75">
        <w:rPr>
          <w:sz w:val="22"/>
          <w:szCs w:val="22"/>
          <w:lang w:bidi="x-none"/>
        </w:rPr>
        <w:t>Graduate student appointees are ineligible for paid vacation leave. A student may make personal arrangements with the department for such leave without pay if needed. Appointees receive all legal university holidays as paid leave</w:t>
      </w:r>
      <w:r w:rsidR="00B41E75" w:rsidRPr="00B41E75">
        <w:rPr>
          <w:sz w:val="22"/>
          <w:szCs w:val="22"/>
          <w:lang w:bidi="x-none"/>
        </w:rPr>
        <w:t xml:space="preserve"> as well as </w:t>
      </w:r>
      <w:hyperlink r:id="rId10" w:anchor="sick-89" w:history="1">
        <w:r w:rsidR="00B41E75" w:rsidRPr="009E1782">
          <w:rPr>
            <w:rStyle w:val="Hyperlink"/>
            <w:sz w:val="22"/>
            <w:szCs w:val="22"/>
            <w:lang w:bidi="x-none"/>
          </w:rPr>
          <w:t>sick leave</w:t>
        </w:r>
      </w:hyperlink>
      <w:r w:rsidRPr="00B41E75">
        <w:rPr>
          <w:sz w:val="22"/>
          <w:szCs w:val="22"/>
          <w:lang w:bidi="x-none"/>
        </w:rPr>
        <w:t>.</w:t>
      </w:r>
    </w:p>
    <w:p w14:paraId="598166B5" w14:textId="77777777" w:rsidR="00B41E75" w:rsidRPr="00B41E75" w:rsidRDefault="00B41E75" w:rsidP="00B41E7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p>
    <w:p w14:paraId="76F554D3" w14:textId="77777777" w:rsidR="002454A1" w:rsidRDefault="00B41E75" w:rsidP="00311D9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2454A1">
        <w:rPr>
          <w:sz w:val="22"/>
          <w:szCs w:val="22"/>
          <w:lang w:bidi="x-none"/>
        </w:rPr>
        <w:t xml:space="preserve">All students on graduate student assistant appointments of 20% or greater </w:t>
      </w:r>
      <w:r w:rsidR="009E1782" w:rsidRPr="002454A1">
        <w:rPr>
          <w:sz w:val="22"/>
          <w:szCs w:val="22"/>
          <w:lang w:bidi="x-none"/>
        </w:rPr>
        <w:t xml:space="preserve">who enroll in the student health insurance program </w:t>
      </w:r>
      <w:r w:rsidRPr="002454A1">
        <w:rPr>
          <w:sz w:val="22"/>
          <w:szCs w:val="22"/>
          <w:lang w:bidi="x-none"/>
        </w:rPr>
        <w:t xml:space="preserve">receive a subsidy of approximately 90% of the cost of the insurance </w:t>
      </w:r>
      <w:r w:rsidR="009E1782" w:rsidRPr="002454A1">
        <w:rPr>
          <w:sz w:val="22"/>
          <w:szCs w:val="22"/>
          <w:lang w:bidi="x-none"/>
        </w:rPr>
        <w:t>which</w:t>
      </w:r>
      <w:r w:rsidRPr="002454A1">
        <w:rPr>
          <w:sz w:val="22"/>
          <w:szCs w:val="22"/>
          <w:lang w:bidi="x-none"/>
        </w:rPr>
        <w:t xml:space="preserve"> is automatically applied to the student account.  In addition, dental insurance is provided at no cost</w:t>
      </w:r>
      <w:r w:rsidR="009E1782" w:rsidRPr="002454A1">
        <w:rPr>
          <w:sz w:val="22"/>
          <w:szCs w:val="22"/>
          <w:lang w:bidi="x-none"/>
        </w:rPr>
        <w:t xml:space="preserve"> to the student.</w:t>
      </w:r>
      <w:r w:rsidR="002454A1">
        <w:rPr>
          <w:sz w:val="22"/>
          <w:szCs w:val="22"/>
          <w:lang w:bidi="x-none"/>
        </w:rPr>
        <w:t xml:space="preserve"> </w:t>
      </w:r>
    </w:p>
    <w:p w14:paraId="3CC41990" w14:textId="77777777" w:rsidR="002454A1" w:rsidRPr="002454A1" w:rsidRDefault="002454A1" w:rsidP="002454A1">
      <w:pPr>
        <w:pStyle w:val="ListParagraph"/>
        <w:rPr>
          <w:sz w:val="22"/>
          <w:szCs w:val="22"/>
          <w:lang w:bidi="x-none"/>
        </w:rPr>
      </w:pPr>
    </w:p>
    <w:p w14:paraId="6AB27047" w14:textId="5B24B408" w:rsidR="00B41E75" w:rsidRDefault="002454A1" w:rsidP="00311D9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2454A1">
        <w:rPr>
          <w:sz w:val="22"/>
          <w:szCs w:val="22"/>
          <w:lang w:bidi="x-none"/>
        </w:rPr>
        <w:t>All students on graduate student assistant appointments of 20% or greate</w:t>
      </w:r>
      <w:r>
        <w:rPr>
          <w:sz w:val="22"/>
          <w:szCs w:val="22"/>
          <w:lang w:bidi="x-none"/>
        </w:rPr>
        <w:t>r will receive full coverage of all mandatory student fees.</w:t>
      </w:r>
    </w:p>
    <w:p w14:paraId="2A1B7518" w14:textId="77777777" w:rsidR="002454A1" w:rsidRPr="002454A1" w:rsidRDefault="002454A1" w:rsidP="002454A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p>
    <w:p w14:paraId="65C5A75C" w14:textId="5ACBF1AC" w:rsidR="00B41E75" w:rsidRDefault="00B41E75" w:rsidP="00440DF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Pr>
          <w:sz w:val="22"/>
          <w:szCs w:val="22"/>
          <w:lang w:bidi="x-none"/>
        </w:rPr>
        <w:t xml:space="preserve">Graduate students on qualifying appointments </w:t>
      </w:r>
      <w:r w:rsidR="009E1782">
        <w:rPr>
          <w:sz w:val="22"/>
          <w:szCs w:val="22"/>
          <w:lang w:bidi="x-none"/>
        </w:rPr>
        <w:t xml:space="preserve">may be </w:t>
      </w:r>
      <w:r>
        <w:rPr>
          <w:sz w:val="22"/>
          <w:szCs w:val="22"/>
          <w:lang w:bidi="x-none"/>
        </w:rPr>
        <w:t xml:space="preserve">eligible for </w:t>
      </w:r>
      <w:hyperlink r:id="rId11" w:history="1">
        <w:r w:rsidRPr="009E1782">
          <w:rPr>
            <w:rStyle w:val="Hyperlink"/>
            <w:sz w:val="22"/>
            <w:szCs w:val="22"/>
            <w:lang w:bidi="x-none"/>
          </w:rPr>
          <w:t>paid parental leave</w:t>
        </w:r>
      </w:hyperlink>
      <w:r>
        <w:rPr>
          <w:sz w:val="22"/>
          <w:szCs w:val="22"/>
          <w:lang w:bidi="x-none"/>
        </w:rPr>
        <w:t>.</w:t>
      </w:r>
    </w:p>
    <w:p w14:paraId="6121D5F7" w14:textId="77777777" w:rsidR="002454A1" w:rsidRPr="002454A1" w:rsidRDefault="002454A1" w:rsidP="002454A1">
      <w:pPr>
        <w:pStyle w:val="ListParagraph"/>
        <w:rPr>
          <w:sz w:val="22"/>
          <w:szCs w:val="22"/>
          <w:lang w:bidi="x-none"/>
        </w:rPr>
      </w:pPr>
    </w:p>
    <w:p w14:paraId="5FCDE90F" w14:textId="77777777" w:rsidR="004C1AF7" w:rsidRPr="008939BE" w:rsidRDefault="004C1AF7" w:rsidP="004C1AF7">
      <w:pPr>
        <w:pStyle w:val="ListParagraph"/>
        <w:rPr>
          <w:sz w:val="22"/>
          <w:szCs w:val="22"/>
          <w:lang w:bidi="x-none"/>
        </w:rPr>
      </w:pPr>
    </w:p>
    <w:p w14:paraId="7972C015" w14:textId="77777777" w:rsidR="004C1AF7" w:rsidRPr="008939BE" w:rsidRDefault="004C1AF7" w:rsidP="00CE1D0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18"/>
          <w:szCs w:val="18"/>
        </w:rPr>
      </w:pPr>
      <w:r w:rsidRPr="008939BE">
        <w:rPr>
          <w:sz w:val="22"/>
          <w:szCs w:val="22"/>
          <w:lang w:bidi="x-none"/>
        </w:rPr>
        <w:t>All students on graduate appointments of at least 15% who work a minimum of</w:t>
      </w:r>
      <w:r w:rsidR="008939BE" w:rsidRPr="008939BE">
        <w:rPr>
          <w:sz w:val="22"/>
          <w:szCs w:val="22"/>
          <w:lang w:bidi="x-none"/>
        </w:rPr>
        <w:t xml:space="preserve"> 12 weeks in a semester </w:t>
      </w:r>
      <w:r w:rsidRPr="008939BE">
        <w:rPr>
          <w:sz w:val="22"/>
          <w:szCs w:val="22"/>
          <w:lang w:bidi="x-none"/>
        </w:rPr>
        <w:t>receive tuition coverage as part of their compensation package.</w:t>
      </w:r>
      <w:r w:rsidR="008939BE">
        <w:rPr>
          <w:sz w:val="22"/>
          <w:szCs w:val="22"/>
          <w:lang w:bidi="x-none"/>
        </w:rPr>
        <w:t xml:space="preserve"> </w:t>
      </w:r>
      <w:r w:rsidR="008939BE" w:rsidRPr="008939BE">
        <w:rPr>
          <w:sz w:val="22"/>
          <w:szCs w:val="22"/>
          <w:lang w:bidi="x-none"/>
        </w:rPr>
        <w:t>The amount of t</w:t>
      </w:r>
      <w:r w:rsidRPr="008939BE">
        <w:rPr>
          <w:sz w:val="22"/>
          <w:szCs w:val="22"/>
          <w:lang w:bidi="x-none"/>
        </w:rPr>
        <w:t>uition coverage</w:t>
      </w:r>
      <w:r w:rsidR="008939BE">
        <w:rPr>
          <w:sz w:val="22"/>
          <w:szCs w:val="22"/>
          <w:lang w:bidi="x-none"/>
        </w:rPr>
        <w:t>*</w:t>
      </w:r>
      <w:r w:rsidRPr="008939BE">
        <w:rPr>
          <w:sz w:val="22"/>
          <w:szCs w:val="22"/>
          <w:lang w:bidi="x-none"/>
        </w:rPr>
        <w:t xml:space="preserve"> will be calculated based on the percent time of the appointment:</w:t>
      </w:r>
      <w:r w:rsidRPr="008939BE">
        <w:rPr>
          <w:sz w:val="18"/>
          <w:szCs w:val="18"/>
        </w:rPr>
        <w:t xml:space="preserve">  </w:t>
      </w:r>
    </w:p>
    <w:p w14:paraId="423FEB73" w14:textId="77777777" w:rsidR="004C1AF7" w:rsidRPr="008939BE" w:rsidRDefault="004C1AF7" w:rsidP="004C1AF7">
      <w:pPr>
        <w:rPr>
          <w:b/>
          <w:sz w:val="18"/>
          <w:szCs w:val="18"/>
        </w:rPr>
      </w:pPr>
    </w:p>
    <w:tbl>
      <w:tblPr>
        <w:tblW w:w="0" w:type="auto"/>
        <w:tblLook w:val="0000" w:firstRow="0" w:lastRow="0" w:firstColumn="0" w:lastColumn="0" w:noHBand="0" w:noVBand="0"/>
      </w:tblPr>
      <w:tblGrid>
        <w:gridCol w:w="3120"/>
        <w:gridCol w:w="3109"/>
        <w:gridCol w:w="3131"/>
      </w:tblGrid>
      <w:tr w:rsidR="004C1AF7" w:rsidRPr="008939BE" w14:paraId="00CF5DC0" w14:textId="77777777" w:rsidTr="00B3508B">
        <w:tc>
          <w:tcPr>
            <w:tcW w:w="3120" w:type="dxa"/>
            <w:tcBorders>
              <w:bottom w:val="single" w:sz="4" w:space="0" w:color="auto"/>
            </w:tcBorders>
          </w:tcPr>
          <w:p w14:paraId="29388481" w14:textId="77777777" w:rsidR="004C1AF7" w:rsidRPr="008939BE" w:rsidRDefault="004C1AF7" w:rsidP="004C1AF7">
            <w:pPr>
              <w:rPr>
                <w:b/>
                <w:sz w:val="18"/>
                <w:szCs w:val="18"/>
              </w:rPr>
            </w:pPr>
            <w:r w:rsidRPr="008939BE">
              <w:rPr>
                <w:b/>
                <w:sz w:val="18"/>
                <w:szCs w:val="18"/>
              </w:rPr>
              <w:t>Hours Employed per Week</w:t>
            </w:r>
          </w:p>
        </w:tc>
        <w:tc>
          <w:tcPr>
            <w:tcW w:w="3109" w:type="dxa"/>
            <w:tcBorders>
              <w:bottom w:val="single" w:sz="4" w:space="0" w:color="auto"/>
            </w:tcBorders>
          </w:tcPr>
          <w:p w14:paraId="784007A6" w14:textId="77777777" w:rsidR="004C1AF7" w:rsidRPr="008939BE" w:rsidRDefault="004C1AF7" w:rsidP="004C1AF7">
            <w:pPr>
              <w:rPr>
                <w:b/>
                <w:sz w:val="18"/>
                <w:szCs w:val="18"/>
              </w:rPr>
            </w:pPr>
            <w:bookmarkStart w:id="0" w:name="_Toc421260235"/>
            <w:r w:rsidRPr="008939BE">
              <w:rPr>
                <w:b/>
                <w:sz w:val="18"/>
                <w:szCs w:val="18"/>
              </w:rPr>
              <w:t xml:space="preserve">Tuition </w:t>
            </w:r>
            <w:bookmarkEnd w:id="0"/>
            <w:r w:rsidRPr="008939BE">
              <w:rPr>
                <w:b/>
                <w:sz w:val="18"/>
                <w:szCs w:val="18"/>
              </w:rPr>
              <w:t>Coverage</w:t>
            </w:r>
          </w:p>
        </w:tc>
        <w:tc>
          <w:tcPr>
            <w:tcW w:w="3131" w:type="dxa"/>
            <w:tcBorders>
              <w:bottom w:val="single" w:sz="4" w:space="0" w:color="auto"/>
            </w:tcBorders>
          </w:tcPr>
          <w:p w14:paraId="4B7273C0" w14:textId="77777777" w:rsidR="004C1AF7" w:rsidRPr="008939BE" w:rsidRDefault="004C1AF7" w:rsidP="004C1AF7">
            <w:pPr>
              <w:rPr>
                <w:b/>
                <w:sz w:val="18"/>
                <w:szCs w:val="18"/>
              </w:rPr>
            </w:pPr>
            <w:bookmarkStart w:id="1" w:name="_Toc421260236"/>
            <w:r w:rsidRPr="008939BE">
              <w:rPr>
                <w:b/>
                <w:sz w:val="18"/>
                <w:szCs w:val="18"/>
              </w:rPr>
              <w:t>Appointment Percentage</w:t>
            </w:r>
            <w:bookmarkEnd w:id="1"/>
          </w:p>
        </w:tc>
      </w:tr>
      <w:tr w:rsidR="004C1AF7" w:rsidRPr="008939BE" w14:paraId="75E3C78B" w14:textId="77777777" w:rsidTr="00B3508B">
        <w:tc>
          <w:tcPr>
            <w:tcW w:w="3120" w:type="dxa"/>
            <w:tcBorders>
              <w:top w:val="single" w:sz="4" w:space="0" w:color="auto"/>
            </w:tcBorders>
          </w:tcPr>
          <w:p w14:paraId="2E4C4FCA" w14:textId="77777777" w:rsidR="004C1AF7" w:rsidRPr="008939BE" w:rsidRDefault="004C1AF7" w:rsidP="004C1AF7">
            <w:pPr>
              <w:rPr>
                <w:bCs/>
                <w:sz w:val="18"/>
                <w:szCs w:val="18"/>
              </w:rPr>
            </w:pPr>
            <w:r w:rsidRPr="008939BE">
              <w:rPr>
                <w:bCs/>
                <w:sz w:val="18"/>
                <w:szCs w:val="18"/>
              </w:rPr>
              <w:t>6</w:t>
            </w:r>
          </w:p>
        </w:tc>
        <w:tc>
          <w:tcPr>
            <w:tcW w:w="3109" w:type="dxa"/>
            <w:tcBorders>
              <w:top w:val="single" w:sz="4" w:space="0" w:color="auto"/>
            </w:tcBorders>
          </w:tcPr>
          <w:p w14:paraId="409DC556" w14:textId="77777777" w:rsidR="004C1AF7" w:rsidRPr="008939BE" w:rsidRDefault="004C1AF7" w:rsidP="004C1AF7">
            <w:pPr>
              <w:rPr>
                <w:bCs/>
                <w:sz w:val="18"/>
                <w:szCs w:val="18"/>
              </w:rPr>
            </w:pPr>
            <w:r w:rsidRPr="008939BE">
              <w:rPr>
                <w:bCs/>
                <w:sz w:val="18"/>
                <w:szCs w:val="18"/>
              </w:rPr>
              <w:t>3 credit hours</w:t>
            </w:r>
          </w:p>
        </w:tc>
        <w:tc>
          <w:tcPr>
            <w:tcW w:w="3131" w:type="dxa"/>
            <w:tcBorders>
              <w:top w:val="single" w:sz="4" w:space="0" w:color="auto"/>
            </w:tcBorders>
          </w:tcPr>
          <w:p w14:paraId="7FA8481F" w14:textId="77777777" w:rsidR="004C1AF7" w:rsidRPr="008939BE" w:rsidRDefault="004C1AF7" w:rsidP="004C1AF7">
            <w:pPr>
              <w:rPr>
                <w:bCs/>
                <w:sz w:val="18"/>
                <w:szCs w:val="18"/>
              </w:rPr>
            </w:pPr>
            <w:r w:rsidRPr="008939BE">
              <w:rPr>
                <w:bCs/>
                <w:sz w:val="18"/>
                <w:szCs w:val="18"/>
              </w:rPr>
              <w:t>15%</w:t>
            </w:r>
          </w:p>
        </w:tc>
      </w:tr>
      <w:tr w:rsidR="004C1AF7" w:rsidRPr="008939BE" w14:paraId="7BFDE196" w14:textId="77777777" w:rsidTr="00B3508B">
        <w:tc>
          <w:tcPr>
            <w:tcW w:w="3120" w:type="dxa"/>
          </w:tcPr>
          <w:p w14:paraId="3E6B0A1F" w14:textId="77777777" w:rsidR="004C1AF7" w:rsidRPr="008939BE" w:rsidRDefault="004C1AF7" w:rsidP="004C1AF7">
            <w:pPr>
              <w:rPr>
                <w:bCs/>
                <w:sz w:val="18"/>
                <w:szCs w:val="18"/>
              </w:rPr>
            </w:pPr>
            <w:r w:rsidRPr="008939BE">
              <w:rPr>
                <w:bCs/>
                <w:sz w:val="18"/>
                <w:szCs w:val="18"/>
              </w:rPr>
              <w:t>8</w:t>
            </w:r>
          </w:p>
        </w:tc>
        <w:tc>
          <w:tcPr>
            <w:tcW w:w="3109" w:type="dxa"/>
          </w:tcPr>
          <w:p w14:paraId="2B700D06" w14:textId="77777777" w:rsidR="004C1AF7" w:rsidRPr="008939BE" w:rsidRDefault="004C1AF7" w:rsidP="004C1AF7">
            <w:pPr>
              <w:rPr>
                <w:bCs/>
                <w:sz w:val="18"/>
                <w:szCs w:val="18"/>
              </w:rPr>
            </w:pPr>
            <w:r w:rsidRPr="008939BE">
              <w:rPr>
                <w:bCs/>
                <w:sz w:val="18"/>
                <w:szCs w:val="18"/>
              </w:rPr>
              <w:t>4 credit hours</w:t>
            </w:r>
          </w:p>
        </w:tc>
        <w:tc>
          <w:tcPr>
            <w:tcW w:w="3131" w:type="dxa"/>
          </w:tcPr>
          <w:p w14:paraId="04B056C8" w14:textId="77777777" w:rsidR="004C1AF7" w:rsidRPr="008939BE" w:rsidRDefault="004C1AF7" w:rsidP="004C1AF7">
            <w:pPr>
              <w:rPr>
                <w:bCs/>
                <w:sz w:val="18"/>
                <w:szCs w:val="18"/>
              </w:rPr>
            </w:pPr>
            <w:r w:rsidRPr="008939BE">
              <w:rPr>
                <w:bCs/>
                <w:sz w:val="18"/>
                <w:szCs w:val="18"/>
              </w:rPr>
              <w:t>20%</w:t>
            </w:r>
          </w:p>
        </w:tc>
      </w:tr>
      <w:tr w:rsidR="004C1AF7" w:rsidRPr="008939BE" w14:paraId="15743A65" w14:textId="77777777" w:rsidTr="00B3508B">
        <w:tc>
          <w:tcPr>
            <w:tcW w:w="3120" w:type="dxa"/>
          </w:tcPr>
          <w:p w14:paraId="55C43AC4" w14:textId="77777777" w:rsidR="004C1AF7" w:rsidRPr="008939BE" w:rsidRDefault="004C1AF7" w:rsidP="004C1AF7">
            <w:pPr>
              <w:rPr>
                <w:bCs/>
                <w:sz w:val="18"/>
                <w:szCs w:val="18"/>
              </w:rPr>
            </w:pPr>
            <w:r w:rsidRPr="008939BE">
              <w:rPr>
                <w:bCs/>
                <w:sz w:val="18"/>
                <w:szCs w:val="18"/>
              </w:rPr>
              <w:t>10</w:t>
            </w:r>
          </w:p>
        </w:tc>
        <w:tc>
          <w:tcPr>
            <w:tcW w:w="3109" w:type="dxa"/>
          </w:tcPr>
          <w:p w14:paraId="640F5408" w14:textId="77777777" w:rsidR="004C1AF7" w:rsidRPr="008939BE" w:rsidRDefault="004C1AF7" w:rsidP="004C1AF7">
            <w:pPr>
              <w:rPr>
                <w:bCs/>
                <w:sz w:val="18"/>
                <w:szCs w:val="18"/>
              </w:rPr>
            </w:pPr>
            <w:r w:rsidRPr="008939BE">
              <w:rPr>
                <w:bCs/>
                <w:sz w:val="18"/>
                <w:szCs w:val="18"/>
              </w:rPr>
              <w:t>5 credit hours</w:t>
            </w:r>
          </w:p>
        </w:tc>
        <w:tc>
          <w:tcPr>
            <w:tcW w:w="3131" w:type="dxa"/>
          </w:tcPr>
          <w:p w14:paraId="3B17A726" w14:textId="77777777" w:rsidR="004C1AF7" w:rsidRPr="008939BE" w:rsidRDefault="004C1AF7" w:rsidP="004C1AF7">
            <w:pPr>
              <w:rPr>
                <w:bCs/>
                <w:sz w:val="18"/>
                <w:szCs w:val="18"/>
              </w:rPr>
            </w:pPr>
            <w:r w:rsidRPr="008939BE">
              <w:rPr>
                <w:bCs/>
                <w:sz w:val="18"/>
                <w:szCs w:val="18"/>
              </w:rPr>
              <w:t>25%</w:t>
            </w:r>
          </w:p>
        </w:tc>
      </w:tr>
      <w:tr w:rsidR="004C1AF7" w:rsidRPr="008939BE" w14:paraId="50BB5EDB" w14:textId="77777777" w:rsidTr="00B3508B">
        <w:tc>
          <w:tcPr>
            <w:tcW w:w="3120" w:type="dxa"/>
          </w:tcPr>
          <w:p w14:paraId="26F0E326" w14:textId="77777777" w:rsidR="004C1AF7" w:rsidRPr="008939BE" w:rsidRDefault="004C1AF7" w:rsidP="004C1AF7">
            <w:pPr>
              <w:rPr>
                <w:bCs/>
                <w:sz w:val="18"/>
                <w:szCs w:val="18"/>
              </w:rPr>
            </w:pPr>
            <w:r w:rsidRPr="008939BE">
              <w:rPr>
                <w:bCs/>
                <w:sz w:val="18"/>
                <w:szCs w:val="18"/>
              </w:rPr>
              <w:t>12</w:t>
            </w:r>
          </w:p>
        </w:tc>
        <w:tc>
          <w:tcPr>
            <w:tcW w:w="3109" w:type="dxa"/>
          </w:tcPr>
          <w:p w14:paraId="0246F3F6" w14:textId="77777777" w:rsidR="004C1AF7" w:rsidRPr="008939BE" w:rsidRDefault="004C1AF7" w:rsidP="004C1AF7">
            <w:pPr>
              <w:rPr>
                <w:bCs/>
                <w:sz w:val="18"/>
                <w:szCs w:val="18"/>
              </w:rPr>
            </w:pPr>
            <w:r w:rsidRPr="008939BE">
              <w:rPr>
                <w:bCs/>
                <w:sz w:val="18"/>
                <w:szCs w:val="18"/>
              </w:rPr>
              <w:t>6 credit hours</w:t>
            </w:r>
          </w:p>
        </w:tc>
        <w:tc>
          <w:tcPr>
            <w:tcW w:w="3131" w:type="dxa"/>
          </w:tcPr>
          <w:p w14:paraId="7709DEF5" w14:textId="77777777" w:rsidR="004C1AF7" w:rsidRPr="008939BE" w:rsidRDefault="004C1AF7" w:rsidP="004C1AF7">
            <w:pPr>
              <w:rPr>
                <w:bCs/>
                <w:sz w:val="18"/>
                <w:szCs w:val="18"/>
              </w:rPr>
            </w:pPr>
            <w:r w:rsidRPr="008939BE">
              <w:rPr>
                <w:bCs/>
                <w:sz w:val="18"/>
                <w:szCs w:val="18"/>
              </w:rPr>
              <w:t>30%</w:t>
            </w:r>
          </w:p>
        </w:tc>
      </w:tr>
      <w:tr w:rsidR="004C1AF7" w:rsidRPr="008939BE" w14:paraId="2B426A56" w14:textId="77777777" w:rsidTr="00B3508B">
        <w:tc>
          <w:tcPr>
            <w:tcW w:w="3120" w:type="dxa"/>
          </w:tcPr>
          <w:p w14:paraId="3F32E015" w14:textId="77777777" w:rsidR="004C1AF7" w:rsidRPr="008939BE" w:rsidRDefault="004C1AF7" w:rsidP="004C1AF7">
            <w:pPr>
              <w:rPr>
                <w:bCs/>
                <w:sz w:val="18"/>
                <w:szCs w:val="18"/>
              </w:rPr>
            </w:pPr>
            <w:r w:rsidRPr="008939BE">
              <w:rPr>
                <w:bCs/>
                <w:sz w:val="18"/>
                <w:szCs w:val="18"/>
              </w:rPr>
              <w:t>14</w:t>
            </w:r>
          </w:p>
        </w:tc>
        <w:tc>
          <w:tcPr>
            <w:tcW w:w="3109" w:type="dxa"/>
          </w:tcPr>
          <w:p w14:paraId="1DCB6E62" w14:textId="77777777" w:rsidR="004C1AF7" w:rsidRPr="008939BE" w:rsidRDefault="004C1AF7" w:rsidP="004C1AF7">
            <w:pPr>
              <w:rPr>
                <w:bCs/>
                <w:sz w:val="18"/>
                <w:szCs w:val="18"/>
              </w:rPr>
            </w:pPr>
            <w:r w:rsidRPr="008939BE">
              <w:rPr>
                <w:bCs/>
                <w:sz w:val="18"/>
                <w:szCs w:val="18"/>
              </w:rPr>
              <w:t>7 credit hours</w:t>
            </w:r>
          </w:p>
        </w:tc>
        <w:tc>
          <w:tcPr>
            <w:tcW w:w="3131" w:type="dxa"/>
          </w:tcPr>
          <w:p w14:paraId="20565688" w14:textId="77777777" w:rsidR="004C1AF7" w:rsidRPr="008939BE" w:rsidRDefault="004C1AF7" w:rsidP="004C1AF7">
            <w:pPr>
              <w:rPr>
                <w:bCs/>
                <w:sz w:val="18"/>
                <w:szCs w:val="18"/>
              </w:rPr>
            </w:pPr>
            <w:r w:rsidRPr="008939BE">
              <w:rPr>
                <w:bCs/>
                <w:sz w:val="18"/>
                <w:szCs w:val="18"/>
              </w:rPr>
              <w:t>35%</w:t>
            </w:r>
          </w:p>
        </w:tc>
      </w:tr>
      <w:tr w:rsidR="004C1AF7" w:rsidRPr="008939BE" w14:paraId="38BA39B4" w14:textId="77777777" w:rsidTr="00B3508B">
        <w:tc>
          <w:tcPr>
            <w:tcW w:w="3120" w:type="dxa"/>
          </w:tcPr>
          <w:p w14:paraId="2DF6314C" w14:textId="77777777" w:rsidR="004C1AF7" w:rsidRPr="008939BE" w:rsidRDefault="004C1AF7" w:rsidP="004C1AF7">
            <w:pPr>
              <w:rPr>
                <w:bCs/>
                <w:sz w:val="18"/>
                <w:szCs w:val="18"/>
              </w:rPr>
            </w:pPr>
            <w:r w:rsidRPr="008939BE">
              <w:rPr>
                <w:bCs/>
                <w:sz w:val="18"/>
                <w:szCs w:val="18"/>
              </w:rPr>
              <w:t>16</w:t>
            </w:r>
          </w:p>
        </w:tc>
        <w:tc>
          <w:tcPr>
            <w:tcW w:w="3109" w:type="dxa"/>
          </w:tcPr>
          <w:p w14:paraId="58CDF218" w14:textId="77777777" w:rsidR="004C1AF7" w:rsidRPr="008939BE" w:rsidRDefault="004C1AF7" w:rsidP="004C1AF7">
            <w:pPr>
              <w:rPr>
                <w:bCs/>
                <w:sz w:val="18"/>
                <w:szCs w:val="18"/>
              </w:rPr>
            </w:pPr>
            <w:r w:rsidRPr="008939BE">
              <w:rPr>
                <w:bCs/>
                <w:sz w:val="18"/>
                <w:szCs w:val="18"/>
              </w:rPr>
              <w:t>8 credit hours</w:t>
            </w:r>
          </w:p>
        </w:tc>
        <w:tc>
          <w:tcPr>
            <w:tcW w:w="3131" w:type="dxa"/>
          </w:tcPr>
          <w:p w14:paraId="6FCD797A" w14:textId="77777777" w:rsidR="004C1AF7" w:rsidRPr="008939BE" w:rsidRDefault="004C1AF7" w:rsidP="004C1AF7">
            <w:pPr>
              <w:rPr>
                <w:bCs/>
                <w:sz w:val="18"/>
                <w:szCs w:val="18"/>
              </w:rPr>
            </w:pPr>
            <w:r w:rsidRPr="008939BE">
              <w:rPr>
                <w:bCs/>
                <w:sz w:val="18"/>
                <w:szCs w:val="18"/>
              </w:rPr>
              <w:t>40%</w:t>
            </w:r>
          </w:p>
        </w:tc>
      </w:tr>
      <w:tr w:rsidR="004C1AF7" w:rsidRPr="008939BE" w14:paraId="10D68B5B" w14:textId="77777777" w:rsidTr="00B3508B">
        <w:tc>
          <w:tcPr>
            <w:tcW w:w="3120" w:type="dxa"/>
          </w:tcPr>
          <w:p w14:paraId="5B4475F2" w14:textId="77777777" w:rsidR="004C1AF7" w:rsidRPr="008939BE" w:rsidRDefault="004C1AF7" w:rsidP="004C1AF7">
            <w:pPr>
              <w:rPr>
                <w:bCs/>
                <w:sz w:val="18"/>
                <w:szCs w:val="18"/>
              </w:rPr>
            </w:pPr>
            <w:r w:rsidRPr="008939BE">
              <w:rPr>
                <w:bCs/>
                <w:sz w:val="18"/>
                <w:szCs w:val="18"/>
              </w:rPr>
              <w:t>18-20</w:t>
            </w:r>
          </w:p>
        </w:tc>
        <w:tc>
          <w:tcPr>
            <w:tcW w:w="3109" w:type="dxa"/>
          </w:tcPr>
          <w:p w14:paraId="6C6DB0A9" w14:textId="77777777" w:rsidR="004C1AF7" w:rsidRPr="008939BE" w:rsidRDefault="004C1AF7" w:rsidP="004C1AF7">
            <w:pPr>
              <w:rPr>
                <w:bCs/>
                <w:sz w:val="18"/>
                <w:szCs w:val="18"/>
              </w:rPr>
            </w:pPr>
            <w:r w:rsidRPr="008939BE">
              <w:rPr>
                <w:bCs/>
                <w:sz w:val="18"/>
                <w:szCs w:val="18"/>
              </w:rPr>
              <w:t>9-18 credit hours</w:t>
            </w:r>
          </w:p>
        </w:tc>
        <w:tc>
          <w:tcPr>
            <w:tcW w:w="3131" w:type="dxa"/>
          </w:tcPr>
          <w:p w14:paraId="471F24E0" w14:textId="77777777" w:rsidR="004C1AF7" w:rsidRPr="008939BE" w:rsidRDefault="004C1AF7" w:rsidP="004C1AF7">
            <w:pPr>
              <w:rPr>
                <w:bCs/>
                <w:sz w:val="18"/>
                <w:szCs w:val="18"/>
              </w:rPr>
            </w:pPr>
            <w:r w:rsidRPr="008939BE">
              <w:rPr>
                <w:bCs/>
                <w:sz w:val="18"/>
                <w:szCs w:val="18"/>
              </w:rPr>
              <w:t>45-50%</w:t>
            </w:r>
          </w:p>
        </w:tc>
      </w:tr>
    </w:tbl>
    <w:p w14:paraId="11ACDDB4" w14:textId="77777777" w:rsidR="004C1AF7" w:rsidRDefault="008939BE" w:rsidP="00893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sz w:val="18"/>
          <w:szCs w:val="18"/>
          <w:lang w:bidi="x-none"/>
        </w:rPr>
      </w:pPr>
      <w:r w:rsidRPr="008939BE">
        <w:rPr>
          <w:i/>
          <w:sz w:val="18"/>
          <w:szCs w:val="18"/>
          <w:lang w:bidi="x-none"/>
        </w:rPr>
        <w:t>*</w:t>
      </w:r>
      <w:r w:rsidR="004C1AF7" w:rsidRPr="008939BE">
        <w:rPr>
          <w:i/>
          <w:sz w:val="18"/>
          <w:szCs w:val="18"/>
          <w:lang w:bidi="x-none"/>
        </w:rPr>
        <w:t xml:space="preserve">Courses taken through Continuing Education, Extended Studies or Outreach programs do not qualify for tuition coverage. Courses taken for </w:t>
      </w:r>
      <w:r w:rsidR="004C1AF7" w:rsidRPr="00623514">
        <w:rPr>
          <w:i/>
          <w:sz w:val="18"/>
          <w:szCs w:val="18"/>
          <w:u w:val="single"/>
          <w:lang w:bidi="x-none"/>
        </w:rPr>
        <w:t>no credit</w:t>
      </w:r>
      <w:r w:rsidR="004C1AF7" w:rsidRPr="008939BE">
        <w:rPr>
          <w:i/>
          <w:sz w:val="18"/>
          <w:szCs w:val="18"/>
          <w:lang w:bidi="x-none"/>
        </w:rPr>
        <w:t xml:space="preserve"> are not eligible for tuition remission.</w:t>
      </w:r>
    </w:p>
    <w:p w14:paraId="2FC20C59" w14:textId="77777777" w:rsidR="00B62740" w:rsidRPr="008939BE" w:rsidRDefault="00B62740" w:rsidP="00893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sz w:val="18"/>
          <w:szCs w:val="18"/>
          <w:lang w:bidi="x-none"/>
        </w:rPr>
      </w:pPr>
    </w:p>
    <w:p w14:paraId="42607086" w14:textId="35CD70D0" w:rsidR="00B62740" w:rsidRDefault="00B62740" w:rsidP="00B6274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8939BE">
        <w:rPr>
          <w:sz w:val="22"/>
          <w:szCs w:val="22"/>
          <w:lang w:bidi="x-none"/>
        </w:rPr>
        <w:t>All domestic non-resident graduate students (including permanent residents) must obtain Colorado in-state tuition classification prior to the start of their second year of employment as a graduate student.  Instructions on how to apply for residency can be f</w:t>
      </w:r>
      <w:r>
        <w:rPr>
          <w:sz w:val="22"/>
          <w:szCs w:val="22"/>
          <w:lang w:bidi="x-none"/>
        </w:rPr>
        <w:t xml:space="preserve">ound on the </w:t>
      </w:r>
      <w:hyperlink r:id="rId12" w:history="1">
        <w:r>
          <w:rPr>
            <w:rStyle w:val="Hyperlink"/>
            <w:sz w:val="22"/>
            <w:szCs w:val="22"/>
            <w:lang w:bidi="x-none"/>
          </w:rPr>
          <w:t>R</w:t>
        </w:r>
        <w:r w:rsidRPr="003E25DA">
          <w:rPr>
            <w:rStyle w:val="Hyperlink"/>
            <w:sz w:val="22"/>
            <w:szCs w:val="22"/>
            <w:lang w:bidi="x-none"/>
          </w:rPr>
          <w:t>egistrar’s website</w:t>
        </w:r>
      </w:hyperlink>
      <w:r w:rsidRPr="008939BE">
        <w:rPr>
          <w:sz w:val="22"/>
          <w:szCs w:val="22"/>
          <w:lang w:bidi="x-none"/>
        </w:rPr>
        <w:t>.  Failure to do so will result in ineligibility for tuition coverage, starting with the following semester.</w:t>
      </w:r>
      <w:r w:rsidR="002454A1">
        <w:rPr>
          <w:sz w:val="22"/>
          <w:szCs w:val="22"/>
          <w:lang w:bidi="x-none"/>
        </w:rPr>
        <w:br/>
      </w:r>
    </w:p>
    <w:p w14:paraId="6968C1A1" w14:textId="1AD5000E" w:rsidR="002454A1" w:rsidRDefault="002454A1" w:rsidP="002454A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2454A1">
        <w:rPr>
          <w:sz w:val="22"/>
          <w:szCs w:val="22"/>
          <w:lang w:bidi="x-none"/>
        </w:rPr>
        <w:t xml:space="preserve">Courses taken through Continuing Education, Extended Studies, certain Certificate programs, or Outreach programs do not qualify for tuition coverage. </w:t>
      </w:r>
    </w:p>
    <w:p w14:paraId="786FC9C9" w14:textId="77777777" w:rsidR="002454A1" w:rsidRDefault="002454A1" w:rsidP="002454A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p>
    <w:p w14:paraId="164A5FE8" w14:textId="531861B2" w:rsidR="002454A1" w:rsidRPr="002454A1" w:rsidRDefault="002454A1" w:rsidP="002454A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2454A1">
        <w:rPr>
          <w:sz w:val="22"/>
          <w:szCs w:val="22"/>
          <w:lang w:bidi="x-none"/>
        </w:rPr>
        <w:t xml:space="preserve">Courses taken not for credit do not qualify for tuition coverage. Classes taken pass/fail </w:t>
      </w:r>
      <w:r w:rsidRPr="002454A1">
        <w:rPr>
          <w:i/>
          <w:iCs/>
          <w:sz w:val="22"/>
          <w:szCs w:val="22"/>
          <w:lang w:bidi="x-none"/>
        </w:rPr>
        <w:t>do</w:t>
      </w:r>
      <w:r w:rsidRPr="002454A1">
        <w:rPr>
          <w:sz w:val="22"/>
          <w:szCs w:val="22"/>
          <w:lang w:bidi="x-none"/>
        </w:rPr>
        <w:t xml:space="preserve"> qualify.</w:t>
      </w:r>
    </w:p>
    <w:p w14:paraId="3E4DF5F6" w14:textId="77777777" w:rsidR="002454A1" w:rsidRDefault="002454A1" w:rsidP="002454A1">
      <w:pPr>
        <w:pStyle w:val="ListParagraph"/>
      </w:pPr>
    </w:p>
    <w:p w14:paraId="4FE1BE6D" w14:textId="77777777" w:rsidR="002454A1" w:rsidRPr="002454A1" w:rsidRDefault="002454A1" w:rsidP="002454A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r w:rsidRPr="002454A1">
        <w:rPr>
          <w:sz w:val="22"/>
          <w:szCs w:val="22"/>
          <w:lang w:bidi="x-none"/>
        </w:rPr>
        <w:t xml:space="preserve">Withdrawal from a course after the census date will result in loss of tuition coverage for that course, and that tuition expense will be the responsibility of the student. </w:t>
      </w:r>
    </w:p>
    <w:p w14:paraId="76F26B8E" w14:textId="77777777" w:rsidR="002454A1" w:rsidRPr="008939BE" w:rsidRDefault="002454A1" w:rsidP="002454A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sz w:val="22"/>
          <w:szCs w:val="22"/>
          <w:lang w:bidi="x-none"/>
        </w:rPr>
      </w:pPr>
    </w:p>
    <w:p w14:paraId="08C99562" w14:textId="52207388" w:rsidR="0027723F" w:rsidRDefault="0027723F">
      <w:pPr>
        <w:rPr>
          <w:sz w:val="22"/>
          <w:szCs w:val="22"/>
        </w:rPr>
      </w:pPr>
    </w:p>
    <w:sectPr w:rsidR="0027723F" w:rsidSect="008939BE">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7F8D" w14:textId="77777777" w:rsidR="00440DF6" w:rsidRDefault="00440DF6" w:rsidP="00440DF6">
      <w:r>
        <w:separator/>
      </w:r>
    </w:p>
  </w:endnote>
  <w:endnote w:type="continuationSeparator" w:id="0">
    <w:p w14:paraId="146CD0B3" w14:textId="77777777" w:rsidR="00440DF6" w:rsidRDefault="00440DF6" w:rsidP="0044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CE0D" w14:textId="77777777" w:rsidR="002454A1" w:rsidRDefault="00245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363A" w14:textId="0CBA0F0B" w:rsidR="00440DF6" w:rsidRPr="00440DF6" w:rsidRDefault="00440DF6">
    <w:pPr>
      <w:pStyle w:val="Footer"/>
      <w:rPr>
        <w:sz w:val="18"/>
        <w:szCs w:val="18"/>
      </w:rPr>
    </w:pPr>
    <w:r w:rsidRPr="00440DF6">
      <w:rPr>
        <w:sz w:val="18"/>
        <w:szCs w:val="18"/>
      </w:rPr>
      <w:t xml:space="preserve">Revised </w:t>
    </w:r>
    <w:r w:rsidR="002454A1">
      <w:rPr>
        <w:sz w:val="18"/>
        <w:szCs w:val="18"/>
      </w:rPr>
      <w:t>11</w:t>
    </w:r>
    <w:r w:rsidR="00B41E75">
      <w:rPr>
        <w:sz w:val="18"/>
        <w:szCs w:val="18"/>
      </w:rPr>
      <w:t>/2021</w:t>
    </w:r>
  </w:p>
  <w:p w14:paraId="73D820F7" w14:textId="77777777" w:rsidR="00440DF6" w:rsidRDefault="00440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2B54" w14:textId="77777777" w:rsidR="002454A1" w:rsidRDefault="002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75C4" w14:textId="77777777" w:rsidR="00440DF6" w:rsidRDefault="00440DF6" w:rsidP="00440DF6">
      <w:r>
        <w:separator/>
      </w:r>
    </w:p>
  </w:footnote>
  <w:footnote w:type="continuationSeparator" w:id="0">
    <w:p w14:paraId="57360376" w14:textId="77777777" w:rsidR="00440DF6" w:rsidRDefault="00440DF6" w:rsidP="0044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2C0E" w14:textId="77777777" w:rsidR="002454A1" w:rsidRDefault="00245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6972" w14:textId="77777777" w:rsidR="002454A1" w:rsidRDefault="00245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8F0C" w14:textId="77777777" w:rsidR="002454A1" w:rsidRDefault="00245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11840"/>
    <w:multiLevelType w:val="hybridMultilevel"/>
    <w:tmpl w:val="B9FA28C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D5C6BDC"/>
    <w:multiLevelType w:val="hybridMultilevel"/>
    <w:tmpl w:val="485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9346D"/>
    <w:multiLevelType w:val="hybridMultilevel"/>
    <w:tmpl w:val="067AD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AE"/>
    <w:rsid w:val="001225ED"/>
    <w:rsid w:val="002454A1"/>
    <w:rsid w:val="0027723F"/>
    <w:rsid w:val="003E25DA"/>
    <w:rsid w:val="004224E2"/>
    <w:rsid w:val="00440DF6"/>
    <w:rsid w:val="00443172"/>
    <w:rsid w:val="0047613C"/>
    <w:rsid w:val="004C1AF7"/>
    <w:rsid w:val="00515218"/>
    <w:rsid w:val="00563AD2"/>
    <w:rsid w:val="00623514"/>
    <w:rsid w:val="007D02B5"/>
    <w:rsid w:val="008939BE"/>
    <w:rsid w:val="009E1782"/>
    <w:rsid w:val="00A833F0"/>
    <w:rsid w:val="00B41E75"/>
    <w:rsid w:val="00B62740"/>
    <w:rsid w:val="00C2575E"/>
    <w:rsid w:val="00D233C3"/>
    <w:rsid w:val="00D267E0"/>
    <w:rsid w:val="00D30A06"/>
    <w:rsid w:val="00D364FE"/>
    <w:rsid w:val="00F43CAE"/>
    <w:rsid w:val="00F7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65"/>
  <w15:chartTrackingRefBased/>
  <w15:docId w15:val="{CCF53169-078C-456E-B6CD-963A7DA8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A06"/>
    <w:pPr>
      <w:ind w:left="720"/>
      <w:contextualSpacing/>
    </w:pPr>
  </w:style>
  <w:style w:type="character" w:styleId="Hyperlink">
    <w:name w:val="Hyperlink"/>
    <w:basedOn w:val="DefaultParagraphFont"/>
    <w:uiPriority w:val="99"/>
    <w:unhideWhenUsed/>
    <w:rsid w:val="00F75E9A"/>
    <w:rPr>
      <w:color w:val="0563C1" w:themeColor="hyperlink"/>
      <w:u w:val="single"/>
    </w:rPr>
  </w:style>
  <w:style w:type="character" w:styleId="FollowedHyperlink">
    <w:name w:val="FollowedHyperlink"/>
    <w:basedOn w:val="DefaultParagraphFont"/>
    <w:uiPriority w:val="99"/>
    <w:semiHidden/>
    <w:unhideWhenUsed/>
    <w:rsid w:val="00443172"/>
    <w:rPr>
      <w:color w:val="954F72" w:themeColor="followedHyperlink"/>
      <w:u w:val="single"/>
    </w:rPr>
  </w:style>
  <w:style w:type="paragraph" w:styleId="Header">
    <w:name w:val="header"/>
    <w:basedOn w:val="Normal"/>
    <w:link w:val="HeaderChar"/>
    <w:uiPriority w:val="99"/>
    <w:unhideWhenUsed/>
    <w:rsid w:val="00440DF6"/>
    <w:pPr>
      <w:tabs>
        <w:tab w:val="center" w:pos="4680"/>
        <w:tab w:val="right" w:pos="9360"/>
      </w:tabs>
    </w:pPr>
  </w:style>
  <w:style w:type="character" w:customStyle="1" w:styleId="HeaderChar">
    <w:name w:val="Header Char"/>
    <w:basedOn w:val="DefaultParagraphFont"/>
    <w:link w:val="Header"/>
    <w:uiPriority w:val="99"/>
    <w:rsid w:val="00440D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DF6"/>
    <w:pPr>
      <w:tabs>
        <w:tab w:val="center" w:pos="4680"/>
        <w:tab w:val="right" w:pos="9360"/>
      </w:tabs>
    </w:pPr>
  </w:style>
  <w:style w:type="character" w:customStyle="1" w:styleId="FooterChar">
    <w:name w:val="Footer Char"/>
    <w:basedOn w:val="DefaultParagraphFont"/>
    <w:link w:val="Footer"/>
    <w:uiPriority w:val="99"/>
    <w:rsid w:val="00440D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2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5D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E1782"/>
    <w:rPr>
      <w:color w:val="605E5C"/>
      <w:shd w:val="clear" w:color="auto" w:fill="E1DFDD"/>
    </w:rPr>
  </w:style>
  <w:style w:type="paragraph" w:styleId="BodyText3">
    <w:name w:val="Body Text 3"/>
    <w:basedOn w:val="Normal"/>
    <w:link w:val="BodyText3Char"/>
    <w:rsid w:val="002454A1"/>
    <w:pPr>
      <w:tabs>
        <w:tab w:val="left" w:pos="360"/>
      </w:tabs>
    </w:pPr>
    <w:rPr>
      <w:szCs w:val="18"/>
    </w:rPr>
  </w:style>
  <w:style w:type="character" w:customStyle="1" w:styleId="BodyText3Char">
    <w:name w:val="Body Text 3 Char"/>
    <w:basedOn w:val="DefaultParagraphFont"/>
    <w:link w:val="BodyText3"/>
    <w:rsid w:val="002454A1"/>
    <w:rPr>
      <w:rFonts w:ascii="Times New Roman" w:eastAsia="Times New Roman" w:hAnsi="Times New Roman" w:cs="Times New Roman"/>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50648">
      <w:bodyDiv w:val="1"/>
      <w:marLeft w:val="0"/>
      <w:marRight w:val="0"/>
      <w:marTop w:val="0"/>
      <w:marBottom w:val="0"/>
      <w:divBdr>
        <w:top w:val="none" w:sz="0" w:space="0" w:color="auto"/>
        <w:left w:val="none" w:sz="0" w:space="0" w:color="auto"/>
        <w:bottom w:val="none" w:sz="0" w:space="0" w:color="auto"/>
        <w:right w:val="none" w:sz="0" w:space="0" w:color="auto"/>
      </w:divBdr>
    </w:div>
    <w:div w:id="20444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registrar/sites/default/files/attached-files/enrollmentverificationgrid.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u.edu/ope/aps/5011" TargetMode="External"/><Relationship Id="rId12" Type="http://schemas.openxmlformats.org/officeDocument/2006/relationships/hyperlink" Target="http://www.colorado.edu/registrar/students/state-residenc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graduateschool/policies-procedures/graduate-student-pregnancy-parenting-related-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lorado.edu/hr/lea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orado.edu/academics/academic-calenda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Sundance O'Connell</dc:creator>
  <cp:keywords/>
  <dc:description/>
  <cp:lastModifiedBy>Gretchen Sundance O'Connell</cp:lastModifiedBy>
  <cp:revision>15</cp:revision>
  <cp:lastPrinted>2017-03-28T16:07:00Z</cp:lastPrinted>
  <dcterms:created xsi:type="dcterms:W3CDTF">2015-12-17T16:33:00Z</dcterms:created>
  <dcterms:modified xsi:type="dcterms:W3CDTF">2021-11-02T18:50:00Z</dcterms:modified>
</cp:coreProperties>
</file>